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D9" w:rsidRDefault="00166FD9" w:rsidP="001C0343">
      <w:pPr>
        <w:ind w:right="-277"/>
        <w:rPr>
          <w:rFonts w:asciiTheme="majorHAnsi" w:hAnsiTheme="majorHAnsi" w:cstheme="majorHAnsi"/>
          <w:sz w:val="20"/>
          <w:szCs w:val="20"/>
        </w:rPr>
      </w:pPr>
      <w:r w:rsidRPr="00166FC4">
        <w:rPr>
          <w:rFonts w:asciiTheme="majorHAnsi" w:hAnsiTheme="majorHAnsi" w:cstheme="majorHAnsi"/>
          <w:noProof/>
          <w:sz w:val="20"/>
          <w:szCs w:val="20"/>
          <w:highlight w:val="yellow"/>
        </w:rPr>
        <w:drawing>
          <wp:anchor distT="0" distB="0" distL="114300" distR="114300" simplePos="0" relativeHeight="251658240" behindDoc="0" locked="0" layoutInCell="1" allowOverlap="1">
            <wp:simplePos x="0" y="0"/>
            <wp:positionH relativeFrom="margin">
              <wp:posOffset>-635</wp:posOffset>
            </wp:positionH>
            <wp:positionV relativeFrom="paragraph">
              <wp:posOffset>-610235</wp:posOffset>
            </wp:positionV>
            <wp:extent cx="6057900" cy="1490345"/>
            <wp:effectExtent l="0" t="0" r="0" b="0"/>
            <wp:wrapNone/>
            <wp:docPr id="4" name="Picture 4" descr="I:\831\MARCOM\Production\Creative\Loans\RSP\Prospecting Letter\RSP prospecting letter-unused contributions-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831\MARCOM\Production\Creative\Loans\RSP\Prospecting Letter\RSP prospecting letter-unused contributions-bann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1490345"/>
                    </a:xfrm>
                    <a:prstGeom prst="rect">
                      <a:avLst/>
                    </a:prstGeom>
                    <a:noFill/>
                    <a:ln>
                      <a:noFill/>
                    </a:ln>
                  </pic:spPr>
                </pic:pic>
              </a:graphicData>
            </a:graphic>
            <wp14:sizeRelH relativeFrom="margin">
              <wp14:pctWidth>0</wp14:pctWidth>
            </wp14:sizeRelH>
          </wp:anchor>
        </w:drawing>
      </w:r>
    </w:p>
    <w:p w:rsidR="00166FD9" w:rsidRDefault="00166FD9" w:rsidP="001C0343">
      <w:pPr>
        <w:ind w:right="-277"/>
        <w:rPr>
          <w:rFonts w:asciiTheme="majorHAnsi" w:hAnsiTheme="majorHAnsi" w:cstheme="majorHAnsi"/>
          <w:sz w:val="20"/>
          <w:szCs w:val="20"/>
        </w:rPr>
      </w:pPr>
    </w:p>
    <w:p w:rsidR="00166FD9" w:rsidRDefault="00166FD9" w:rsidP="001C0343">
      <w:pPr>
        <w:ind w:right="-277"/>
        <w:rPr>
          <w:rFonts w:asciiTheme="majorHAnsi" w:hAnsiTheme="majorHAnsi" w:cstheme="majorHAnsi"/>
          <w:sz w:val="20"/>
          <w:szCs w:val="20"/>
        </w:rPr>
      </w:pPr>
    </w:p>
    <w:p w:rsidR="00166FD9" w:rsidRDefault="00166FD9" w:rsidP="001C0343">
      <w:pPr>
        <w:ind w:right="-277"/>
        <w:rPr>
          <w:rFonts w:asciiTheme="majorHAnsi" w:hAnsiTheme="majorHAnsi" w:cstheme="majorHAnsi"/>
          <w:sz w:val="20"/>
          <w:szCs w:val="20"/>
        </w:rPr>
      </w:pPr>
    </w:p>
    <w:p w:rsidR="00802F5F" w:rsidRDefault="00802F5F" w:rsidP="001C0343">
      <w:pPr>
        <w:ind w:right="-277"/>
        <w:rPr>
          <w:rFonts w:asciiTheme="majorHAnsi" w:hAnsiTheme="majorHAnsi" w:cstheme="majorHAnsi"/>
          <w:sz w:val="20"/>
          <w:szCs w:val="20"/>
        </w:rPr>
      </w:pPr>
    </w:p>
    <w:p w:rsidR="00802F5F" w:rsidRDefault="00802F5F" w:rsidP="001C0343">
      <w:pPr>
        <w:ind w:right="-277"/>
        <w:rPr>
          <w:rFonts w:asciiTheme="majorHAnsi" w:hAnsiTheme="majorHAnsi" w:cstheme="majorHAnsi"/>
          <w:sz w:val="20"/>
          <w:szCs w:val="20"/>
        </w:rPr>
      </w:pPr>
    </w:p>
    <w:p w:rsidR="008E665D" w:rsidRDefault="008E665D" w:rsidP="001C0343">
      <w:pPr>
        <w:ind w:right="-277"/>
        <w:rPr>
          <w:rFonts w:asciiTheme="majorHAnsi" w:hAnsiTheme="majorHAnsi" w:cstheme="majorHAnsi"/>
          <w:sz w:val="20"/>
          <w:szCs w:val="20"/>
        </w:rPr>
      </w:pPr>
    </w:p>
    <w:p w:rsidR="001C0343" w:rsidRPr="001C0343" w:rsidRDefault="00304D18" w:rsidP="001C0343">
      <w:pPr>
        <w:ind w:right="-277"/>
        <w:rPr>
          <w:rFonts w:asciiTheme="majorHAnsi" w:hAnsiTheme="majorHAnsi" w:cstheme="majorHAnsi"/>
          <w:sz w:val="20"/>
          <w:szCs w:val="20"/>
        </w:rPr>
      </w:pPr>
      <w:r w:rsidRPr="00632DB1">
        <w:rPr>
          <w:rFonts w:asciiTheme="majorHAnsi" w:hAnsiTheme="majorHAnsi" w:cstheme="majorHAnsi"/>
          <w:sz w:val="20"/>
          <w:szCs w:val="20"/>
        </w:rPr>
        <w:t>Have you considered the advantages of contributing to your</w:t>
      </w:r>
      <w:r w:rsidR="00BC5E4D" w:rsidRPr="00632DB1">
        <w:rPr>
          <w:rFonts w:asciiTheme="majorHAnsi" w:hAnsiTheme="majorHAnsi" w:cstheme="majorHAnsi"/>
          <w:sz w:val="20"/>
          <w:szCs w:val="20"/>
        </w:rPr>
        <w:t xml:space="preserve"> retirement</w:t>
      </w:r>
      <w:r w:rsidRPr="00632DB1">
        <w:rPr>
          <w:rFonts w:asciiTheme="majorHAnsi" w:hAnsiTheme="majorHAnsi" w:cstheme="majorHAnsi"/>
          <w:sz w:val="20"/>
          <w:szCs w:val="20"/>
        </w:rPr>
        <w:t xml:space="preserve"> </w:t>
      </w:r>
      <w:r w:rsidRPr="001C0343">
        <w:rPr>
          <w:rFonts w:asciiTheme="majorHAnsi" w:hAnsiTheme="majorHAnsi" w:cstheme="majorHAnsi"/>
          <w:sz w:val="20"/>
          <w:szCs w:val="20"/>
        </w:rPr>
        <w:t xml:space="preserve">savings with an RSP loan? </w:t>
      </w:r>
      <w:r w:rsidR="001C0343">
        <w:rPr>
          <w:rFonts w:asciiTheme="majorHAnsi" w:hAnsiTheme="majorHAnsi" w:cstheme="majorHAnsi"/>
          <w:sz w:val="20"/>
          <w:szCs w:val="20"/>
        </w:rPr>
        <w:t>No matter what kind of saver you are, a</w:t>
      </w:r>
      <w:r w:rsidR="001C0343" w:rsidRPr="001C0343">
        <w:rPr>
          <w:rFonts w:asciiTheme="majorHAnsi" w:hAnsiTheme="majorHAnsi" w:cstheme="majorHAnsi"/>
          <w:sz w:val="20"/>
          <w:szCs w:val="20"/>
        </w:rPr>
        <w:t xml:space="preserve">n RSP loan can </w:t>
      </w:r>
      <w:r w:rsidR="009160CA">
        <w:rPr>
          <w:rFonts w:asciiTheme="majorHAnsi" w:hAnsiTheme="majorHAnsi" w:cstheme="majorHAnsi"/>
          <w:sz w:val="20"/>
          <w:szCs w:val="20"/>
        </w:rPr>
        <w:t>help</w:t>
      </w:r>
      <w:r w:rsidR="001C0343" w:rsidRPr="001C0343">
        <w:rPr>
          <w:rFonts w:asciiTheme="majorHAnsi" w:hAnsiTheme="majorHAnsi" w:cstheme="majorHAnsi"/>
          <w:sz w:val="20"/>
          <w:szCs w:val="20"/>
        </w:rPr>
        <w:t xml:space="preserve"> ensure that you’re using the benefits of RSP tax-deferred investing</w:t>
      </w:r>
      <w:r w:rsidR="00A6659F">
        <w:rPr>
          <w:rFonts w:asciiTheme="majorHAnsi" w:hAnsiTheme="majorHAnsi" w:cstheme="majorHAnsi"/>
          <w:sz w:val="20"/>
          <w:szCs w:val="20"/>
        </w:rPr>
        <w:t>.</w:t>
      </w:r>
      <w:r w:rsidR="001C0343" w:rsidRPr="001C0343">
        <w:rPr>
          <w:rFonts w:asciiTheme="majorHAnsi" w:hAnsiTheme="majorHAnsi" w:cstheme="majorHAnsi"/>
          <w:sz w:val="20"/>
          <w:szCs w:val="20"/>
        </w:rPr>
        <w:t xml:space="preserve"> </w:t>
      </w:r>
    </w:p>
    <w:p w:rsidR="00304D18" w:rsidRPr="00304D18" w:rsidRDefault="00304D18" w:rsidP="00304D18">
      <w:pPr>
        <w:ind w:right="-277"/>
        <w:rPr>
          <w:rFonts w:asciiTheme="majorHAnsi" w:hAnsiTheme="majorHAnsi" w:cstheme="majorHAnsi"/>
          <w:b/>
          <w:color w:val="17365D"/>
          <w:sz w:val="20"/>
          <w:szCs w:val="20"/>
        </w:rPr>
      </w:pPr>
    </w:p>
    <w:p w:rsidR="00846EA6" w:rsidRPr="001415AD" w:rsidRDefault="00846EA6" w:rsidP="00846EA6">
      <w:pPr>
        <w:ind w:right="-277"/>
        <w:rPr>
          <w:rFonts w:asciiTheme="majorHAnsi" w:hAnsiTheme="majorHAnsi" w:cstheme="majorHAnsi"/>
          <w:b/>
          <w:color w:val="004070"/>
          <w:sz w:val="20"/>
          <w:szCs w:val="20"/>
        </w:rPr>
      </w:pPr>
      <w:r w:rsidRPr="001415AD">
        <w:rPr>
          <w:rFonts w:asciiTheme="majorHAnsi" w:hAnsiTheme="majorHAnsi" w:cstheme="majorHAnsi"/>
          <w:b/>
          <w:color w:val="004070"/>
          <w:sz w:val="20"/>
          <w:szCs w:val="20"/>
        </w:rPr>
        <w:t>What kind of saver are you?</w:t>
      </w:r>
    </w:p>
    <w:tbl>
      <w:tblPr>
        <w:tblStyle w:val="TableGrid"/>
        <w:tblW w:w="0" w:type="auto"/>
        <w:tblLook w:val="04A0" w:firstRow="1" w:lastRow="0" w:firstColumn="1" w:lastColumn="0" w:noHBand="0" w:noVBand="1"/>
      </w:tblPr>
      <w:tblGrid>
        <w:gridCol w:w="2965"/>
        <w:gridCol w:w="3299"/>
        <w:gridCol w:w="3132"/>
      </w:tblGrid>
      <w:tr w:rsidR="00846EA6" w:rsidTr="0033448F">
        <w:tc>
          <w:tcPr>
            <w:tcW w:w="2965" w:type="dxa"/>
            <w:tcBorders>
              <w:top w:val="nil"/>
              <w:left w:val="nil"/>
              <w:bottom w:val="single" w:sz="12" w:space="0" w:color="FDB812"/>
              <w:right w:val="nil"/>
            </w:tcBorders>
          </w:tcPr>
          <w:p w:rsidR="00846EA6" w:rsidRPr="00467F0E" w:rsidRDefault="00846EA6" w:rsidP="0033448F">
            <w:pPr>
              <w:spacing w:before="120" w:after="60"/>
              <w:ind w:right="-277"/>
              <w:rPr>
                <w:rFonts w:asciiTheme="majorHAnsi" w:hAnsiTheme="majorHAnsi" w:cstheme="majorHAnsi"/>
                <w:b/>
                <w:color w:val="004070"/>
                <w:sz w:val="18"/>
                <w:szCs w:val="18"/>
              </w:rPr>
            </w:pPr>
            <w:r w:rsidRPr="00467F0E">
              <w:rPr>
                <w:rFonts w:asciiTheme="majorHAnsi" w:hAnsiTheme="majorHAnsi" w:cstheme="majorHAnsi"/>
                <w:b/>
                <w:color w:val="808080" w:themeColor="background1" w:themeShade="80"/>
                <w:sz w:val="18"/>
                <w:szCs w:val="18"/>
              </w:rPr>
              <w:t>Your saver type:</w:t>
            </w:r>
          </w:p>
        </w:tc>
        <w:tc>
          <w:tcPr>
            <w:tcW w:w="3299" w:type="dxa"/>
            <w:tcBorders>
              <w:top w:val="nil"/>
              <w:left w:val="nil"/>
              <w:bottom w:val="single" w:sz="12" w:space="0" w:color="FDB812"/>
              <w:right w:val="nil"/>
            </w:tcBorders>
          </w:tcPr>
          <w:p w:rsidR="00846EA6" w:rsidRPr="00166FC4" w:rsidRDefault="00846EA6" w:rsidP="0033448F">
            <w:pPr>
              <w:ind w:right="-277"/>
              <w:jc w:val="center"/>
              <w:rPr>
                <w:rFonts w:asciiTheme="majorHAnsi" w:hAnsiTheme="majorHAnsi" w:cstheme="majorHAnsi"/>
                <w:b/>
                <w:color w:val="004070"/>
                <w:sz w:val="20"/>
                <w:szCs w:val="20"/>
              </w:rPr>
            </w:pPr>
          </w:p>
        </w:tc>
        <w:tc>
          <w:tcPr>
            <w:tcW w:w="3132" w:type="dxa"/>
            <w:tcBorders>
              <w:top w:val="nil"/>
              <w:left w:val="nil"/>
              <w:bottom w:val="single" w:sz="12" w:space="0" w:color="FDB812"/>
              <w:right w:val="nil"/>
            </w:tcBorders>
          </w:tcPr>
          <w:p w:rsidR="00846EA6" w:rsidRPr="00166FC4" w:rsidRDefault="00846EA6" w:rsidP="0033448F">
            <w:pPr>
              <w:ind w:right="-277"/>
              <w:jc w:val="center"/>
              <w:rPr>
                <w:rFonts w:asciiTheme="majorHAnsi" w:hAnsiTheme="majorHAnsi" w:cstheme="majorHAnsi"/>
                <w:b/>
                <w:color w:val="004070"/>
                <w:sz w:val="20"/>
                <w:szCs w:val="20"/>
              </w:rPr>
            </w:pPr>
          </w:p>
        </w:tc>
      </w:tr>
      <w:tr w:rsidR="00846EA6" w:rsidTr="0033448F">
        <w:tc>
          <w:tcPr>
            <w:tcW w:w="2965"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166FC4" w:rsidRDefault="00846EA6" w:rsidP="0033448F">
            <w:pPr>
              <w:ind w:right="-277"/>
              <w:jc w:val="center"/>
              <w:rPr>
                <w:rFonts w:asciiTheme="majorHAnsi" w:hAnsiTheme="majorHAnsi" w:cstheme="majorHAnsi"/>
                <w:b/>
                <w:color w:val="004070"/>
                <w:sz w:val="20"/>
                <w:szCs w:val="20"/>
              </w:rPr>
            </w:pPr>
            <w:r w:rsidRPr="00166FC4">
              <w:rPr>
                <w:rFonts w:asciiTheme="majorHAnsi" w:hAnsiTheme="majorHAnsi" w:cstheme="majorHAnsi"/>
                <w:b/>
                <w:color w:val="004070"/>
                <w:sz w:val="20"/>
                <w:szCs w:val="20"/>
              </w:rPr>
              <w:t>Kick-starter</w:t>
            </w:r>
          </w:p>
        </w:tc>
        <w:tc>
          <w:tcPr>
            <w:tcW w:w="3299"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166FC4" w:rsidRDefault="00846EA6" w:rsidP="0033448F">
            <w:pPr>
              <w:ind w:right="-277"/>
              <w:jc w:val="center"/>
              <w:rPr>
                <w:rFonts w:asciiTheme="majorHAnsi" w:hAnsiTheme="majorHAnsi" w:cstheme="majorHAnsi"/>
                <w:b/>
                <w:color w:val="004070"/>
                <w:sz w:val="20"/>
                <w:szCs w:val="20"/>
              </w:rPr>
            </w:pPr>
            <w:r w:rsidRPr="00166FC4">
              <w:rPr>
                <w:rFonts w:asciiTheme="majorHAnsi" w:hAnsiTheme="majorHAnsi" w:cstheme="majorHAnsi"/>
                <w:b/>
                <w:color w:val="004070"/>
                <w:sz w:val="20"/>
                <w:szCs w:val="20"/>
              </w:rPr>
              <w:t>Maximizer</w:t>
            </w:r>
          </w:p>
        </w:tc>
        <w:tc>
          <w:tcPr>
            <w:tcW w:w="3132"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166FC4" w:rsidRDefault="00846EA6" w:rsidP="0033448F">
            <w:pPr>
              <w:ind w:right="-277"/>
              <w:jc w:val="center"/>
              <w:rPr>
                <w:rFonts w:asciiTheme="majorHAnsi" w:hAnsiTheme="majorHAnsi" w:cstheme="majorHAnsi"/>
                <w:b/>
                <w:color w:val="004070"/>
                <w:sz w:val="20"/>
                <w:szCs w:val="20"/>
              </w:rPr>
            </w:pPr>
            <w:r w:rsidRPr="00166FC4">
              <w:rPr>
                <w:rFonts w:asciiTheme="majorHAnsi" w:hAnsiTheme="majorHAnsi" w:cstheme="majorHAnsi"/>
                <w:b/>
                <w:color w:val="004070"/>
                <w:sz w:val="20"/>
                <w:szCs w:val="20"/>
              </w:rPr>
              <w:t>Catch-up</w:t>
            </w:r>
          </w:p>
        </w:tc>
      </w:tr>
      <w:tr w:rsidR="00846EA6" w:rsidRPr="00467F0E" w:rsidTr="0033448F">
        <w:tc>
          <w:tcPr>
            <w:tcW w:w="9396" w:type="dxa"/>
            <w:gridSpan w:val="3"/>
            <w:tcBorders>
              <w:top w:val="single" w:sz="8" w:space="0" w:color="808080" w:themeColor="background1" w:themeShade="80"/>
              <w:left w:val="nil"/>
              <w:bottom w:val="single" w:sz="12" w:space="0" w:color="FDB812"/>
              <w:right w:val="nil"/>
            </w:tcBorders>
            <w:shd w:val="clear" w:color="auto" w:fill="auto"/>
          </w:tcPr>
          <w:p w:rsidR="00846EA6" w:rsidRPr="00467F0E" w:rsidRDefault="00846EA6" w:rsidP="0033448F">
            <w:pPr>
              <w:spacing w:before="60" w:after="60"/>
              <w:ind w:right="-277"/>
              <w:rPr>
                <w:rFonts w:asciiTheme="majorHAnsi" w:hAnsiTheme="majorHAnsi" w:cstheme="majorHAnsi"/>
                <w:b/>
                <w:sz w:val="18"/>
                <w:szCs w:val="18"/>
              </w:rPr>
            </w:pPr>
            <w:r w:rsidRPr="00467F0E">
              <w:rPr>
                <w:rFonts w:asciiTheme="majorHAnsi" w:hAnsiTheme="majorHAnsi" w:cstheme="majorHAnsi"/>
                <w:b/>
                <w:color w:val="808080" w:themeColor="background1" w:themeShade="80"/>
                <w:sz w:val="18"/>
                <w:szCs w:val="18"/>
              </w:rPr>
              <w:t xml:space="preserve">Savings goal: </w:t>
            </w:r>
          </w:p>
        </w:tc>
      </w:tr>
      <w:tr w:rsidR="00846EA6" w:rsidTr="0033448F">
        <w:tc>
          <w:tcPr>
            <w:tcW w:w="2965"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9"/>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 xml:space="preserve">Start saving for retirement </w:t>
            </w:r>
          </w:p>
          <w:p w:rsidR="00846EA6" w:rsidRPr="00F32961" w:rsidRDefault="00846EA6" w:rsidP="0033448F">
            <w:pPr>
              <w:pStyle w:val="ListParagraph"/>
              <w:ind w:left="360" w:right="-277"/>
              <w:rPr>
                <w:rFonts w:asciiTheme="majorHAnsi" w:hAnsiTheme="majorHAnsi" w:cstheme="majorHAnsi"/>
                <w:color w:val="808080" w:themeColor="background1" w:themeShade="80"/>
                <w:sz w:val="20"/>
                <w:szCs w:val="20"/>
              </w:rPr>
            </w:pPr>
          </w:p>
        </w:tc>
        <w:tc>
          <w:tcPr>
            <w:tcW w:w="3299"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0"/>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Supplement retirement savings from pension, OAS and GIS</w:t>
            </w:r>
          </w:p>
          <w:p w:rsidR="00846EA6" w:rsidRPr="00F32961" w:rsidRDefault="00846EA6" w:rsidP="0033448F">
            <w:pPr>
              <w:pStyle w:val="ListParagraph"/>
              <w:ind w:left="360" w:right="-277"/>
              <w:rPr>
                <w:rFonts w:asciiTheme="majorHAnsi" w:hAnsiTheme="majorHAnsi" w:cstheme="majorHAnsi"/>
                <w:color w:val="808080" w:themeColor="background1" w:themeShade="80"/>
                <w:sz w:val="20"/>
                <w:szCs w:val="20"/>
              </w:rPr>
            </w:pPr>
          </w:p>
        </w:tc>
        <w:tc>
          <w:tcPr>
            <w:tcW w:w="3132"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1"/>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 xml:space="preserve">Utilize unused contribution room to accelerate </w:t>
            </w:r>
            <w:r w:rsidRPr="00F32961">
              <w:rPr>
                <w:rFonts w:asciiTheme="majorHAnsi" w:hAnsiTheme="majorHAnsi" w:cstheme="majorHAnsi"/>
                <w:color w:val="808080" w:themeColor="background1" w:themeShade="80"/>
                <w:sz w:val="20"/>
                <w:szCs w:val="20"/>
              </w:rPr>
              <w:br/>
              <w:t>tax-deferred savings</w:t>
            </w:r>
          </w:p>
        </w:tc>
      </w:tr>
      <w:tr w:rsidR="00846EA6" w:rsidTr="0033448F">
        <w:tc>
          <w:tcPr>
            <w:tcW w:w="9396" w:type="dxa"/>
            <w:gridSpan w:val="3"/>
            <w:tcBorders>
              <w:top w:val="nil"/>
              <w:left w:val="nil"/>
              <w:bottom w:val="single" w:sz="12" w:space="0" w:color="FDB812"/>
              <w:right w:val="nil"/>
            </w:tcBorders>
            <w:shd w:val="clear" w:color="auto" w:fill="auto"/>
          </w:tcPr>
          <w:p w:rsidR="00846EA6" w:rsidRPr="00467F0E" w:rsidRDefault="00846EA6" w:rsidP="0033448F">
            <w:pPr>
              <w:spacing w:before="60" w:after="60"/>
              <w:ind w:right="-277"/>
              <w:rPr>
                <w:rFonts w:asciiTheme="majorHAnsi" w:hAnsiTheme="majorHAnsi" w:cstheme="majorHAnsi"/>
                <w:b/>
                <w:sz w:val="18"/>
                <w:szCs w:val="18"/>
              </w:rPr>
            </w:pPr>
            <w:r w:rsidRPr="00467F0E">
              <w:rPr>
                <w:rFonts w:asciiTheme="majorHAnsi" w:hAnsiTheme="majorHAnsi" w:cstheme="majorHAnsi"/>
                <w:b/>
                <w:color w:val="808080" w:themeColor="background1" w:themeShade="80"/>
                <w:sz w:val="18"/>
                <w:szCs w:val="18"/>
              </w:rPr>
              <w:t>Your financial situation:</w:t>
            </w:r>
          </w:p>
        </w:tc>
      </w:tr>
      <w:tr w:rsidR="00846EA6" w:rsidTr="0033448F">
        <w:tc>
          <w:tcPr>
            <w:tcW w:w="2965"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2"/>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Establish savings</w:t>
            </w:r>
          </w:p>
        </w:tc>
        <w:tc>
          <w:tcPr>
            <w:tcW w:w="3299"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4"/>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Peak or stable income</w:t>
            </w:r>
          </w:p>
        </w:tc>
        <w:tc>
          <w:tcPr>
            <w:tcW w:w="3132" w:type="dxa"/>
            <w:tcBorders>
              <w:top w:val="single" w:sz="12" w:space="0" w:color="FDB812"/>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3"/>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Limited assets</w:t>
            </w:r>
          </w:p>
        </w:tc>
      </w:tr>
      <w:tr w:rsidR="00846EA6" w:rsidTr="0033448F">
        <w:tc>
          <w:tcPr>
            <w:tcW w:w="29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2"/>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Starting career</w:t>
            </w:r>
          </w:p>
        </w:tc>
        <w:tc>
          <w:tcPr>
            <w:tcW w:w="32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4"/>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Established assets</w:t>
            </w:r>
          </w:p>
        </w:tc>
        <w:tc>
          <w:tcPr>
            <w:tcW w:w="31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3"/>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Life-changing events</w:t>
            </w:r>
          </w:p>
        </w:tc>
      </w:tr>
      <w:tr w:rsidR="00846EA6" w:rsidTr="0033448F">
        <w:tc>
          <w:tcPr>
            <w:tcW w:w="29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2"/>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Millennial</w:t>
            </w:r>
          </w:p>
        </w:tc>
        <w:tc>
          <w:tcPr>
            <w:tcW w:w="32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4"/>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Excess cash flow</w:t>
            </w:r>
          </w:p>
        </w:tc>
        <w:tc>
          <w:tcPr>
            <w:tcW w:w="31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3"/>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Shortened-time horizon</w:t>
            </w:r>
          </w:p>
        </w:tc>
      </w:tr>
      <w:tr w:rsidR="00846EA6" w:rsidTr="0033448F">
        <w:tc>
          <w:tcPr>
            <w:tcW w:w="29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2"/>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Long-term horizon</w:t>
            </w:r>
          </w:p>
        </w:tc>
        <w:tc>
          <w:tcPr>
            <w:tcW w:w="32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4"/>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Manageable debt</w:t>
            </w:r>
          </w:p>
        </w:tc>
        <w:tc>
          <w:tcPr>
            <w:tcW w:w="31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846EA6" w:rsidRPr="00F32961" w:rsidRDefault="00846EA6" w:rsidP="0033448F">
            <w:pPr>
              <w:pStyle w:val="ListParagraph"/>
              <w:numPr>
                <w:ilvl w:val="0"/>
                <w:numId w:val="13"/>
              </w:numPr>
              <w:ind w:right="-277"/>
              <w:rPr>
                <w:rFonts w:asciiTheme="majorHAnsi" w:hAnsiTheme="majorHAnsi" w:cstheme="majorHAnsi"/>
                <w:color w:val="808080" w:themeColor="background1" w:themeShade="80"/>
                <w:sz w:val="20"/>
                <w:szCs w:val="20"/>
              </w:rPr>
            </w:pPr>
            <w:r w:rsidRPr="00F32961">
              <w:rPr>
                <w:rFonts w:asciiTheme="majorHAnsi" w:hAnsiTheme="majorHAnsi" w:cstheme="majorHAnsi"/>
                <w:color w:val="808080" w:themeColor="background1" w:themeShade="80"/>
                <w:sz w:val="20"/>
                <w:szCs w:val="20"/>
              </w:rPr>
              <w:t>Unused contribution room</w:t>
            </w:r>
          </w:p>
        </w:tc>
      </w:tr>
    </w:tbl>
    <w:p w:rsidR="00846EA6" w:rsidRDefault="00846EA6" w:rsidP="00846EA6">
      <w:pPr>
        <w:ind w:right="-7"/>
        <w:rPr>
          <w:rFonts w:asciiTheme="majorHAnsi" w:hAnsiTheme="majorHAnsi" w:cstheme="majorHAnsi"/>
          <w:sz w:val="20"/>
          <w:szCs w:val="20"/>
        </w:rPr>
      </w:pPr>
    </w:p>
    <w:p w:rsidR="00304D18" w:rsidRDefault="00304D18" w:rsidP="00166FD9">
      <w:pPr>
        <w:ind w:right="-7"/>
        <w:rPr>
          <w:rFonts w:asciiTheme="majorHAnsi" w:hAnsiTheme="majorHAnsi" w:cstheme="majorHAnsi"/>
          <w:sz w:val="20"/>
          <w:szCs w:val="20"/>
        </w:rPr>
      </w:pPr>
      <w:r w:rsidRPr="00304D18">
        <w:rPr>
          <w:rFonts w:asciiTheme="majorHAnsi" w:hAnsiTheme="majorHAnsi" w:cstheme="majorHAnsi"/>
          <w:sz w:val="20"/>
          <w:szCs w:val="20"/>
        </w:rPr>
        <w:t xml:space="preserve">B2B Bank offers a lending solution that can help build your wealth and ensure sufficient savings for </w:t>
      </w:r>
      <w:r w:rsidR="006D4850">
        <w:rPr>
          <w:rFonts w:asciiTheme="majorHAnsi" w:hAnsiTheme="majorHAnsi" w:cstheme="majorHAnsi"/>
          <w:sz w:val="20"/>
          <w:szCs w:val="20"/>
        </w:rPr>
        <w:br/>
      </w:r>
      <w:r w:rsidRPr="00304D18">
        <w:rPr>
          <w:rFonts w:asciiTheme="majorHAnsi" w:hAnsiTheme="majorHAnsi" w:cstheme="majorHAnsi"/>
          <w:sz w:val="20"/>
          <w:szCs w:val="20"/>
        </w:rPr>
        <w:t>the future</w:t>
      </w:r>
      <w:r w:rsidR="00A93F7A">
        <w:rPr>
          <w:rFonts w:asciiTheme="majorHAnsi" w:hAnsiTheme="majorHAnsi" w:cstheme="majorHAnsi"/>
          <w:sz w:val="20"/>
          <w:szCs w:val="20"/>
        </w:rPr>
        <w:t>:</w:t>
      </w:r>
    </w:p>
    <w:tbl>
      <w:tblPr>
        <w:tblStyle w:val="TableGrid"/>
        <w:tblW w:w="0" w:type="auto"/>
        <w:tblLook w:val="04A0" w:firstRow="1" w:lastRow="0" w:firstColumn="1" w:lastColumn="0" w:noHBand="0" w:noVBand="1"/>
      </w:tblPr>
      <w:tblGrid>
        <w:gridCol w:w="4945"/>
        <w:gridCol w:w="4463"/>
      </w:tblGrid>
      <w:tr w:rsidR="00166FD9" w:rsidRPr="00F9014E" w:rsidTr="008E665D">
        <w:trPr>
          <w:trHeight w:val="1027"/>
        </w:trPr>
        <w:tc>
          <w:tcPr>
            <w:tcW w:w="49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FD9" w:rsidRPr="00F9014E" w:rsidRDefault="00166FD9" w:rsidP="00166FD9">
            <w:pPr>
              <w:numPr>
                <w:ilvl w:val="0"/>
                <w:numId w:val="2"/>
              </w:numPr>
              <w:ind w:left="720" w:right="-7"/>
              <w:rPr>
                <w:rFonts w:asciiTheme="majorHAnsi" w:hAnsiTheme="majorHAnsi" w:cstheme="majorHAnsi"/>
                <w:sz w:val="20"/>
                <w:szCs w:val="20"/>
              </w:rPr>
            </w:pPr>
            <w:r w:rsidRPr="00F9014E">
              <w:rPr>
                <w:rFonts w:asciiTheme="majorHAnsi" w:hAnsiTheme="majorHAnsi" w:cstheme="majorHAnsi"/>
                <w:sz w:val="20"/>
                <w:szCs w:val="20"/>
              </w:rPr>
              <w:t>Flexible terms (1- to 10-years)</w:t>
            </w:r>
          </w:p>
          <w:p w:rsidR="00166FD9" w:rsidRPr="00F9014E" w:rsidRDefault="00166FD9" w:rsidP="00166FD9">
            <w:pPr>
              <w:numPr>
                <w:ilvl w:val="0"/>
                <w:numId w:val="2"/>
              </w:numPr>
              <w:ind w:left="720" w:right="-7"/>
              <w:rPr>
                <w:rFonts w:asciiTheme="majorHAnsi" w:hAnsiTheme="majorHAnsi" w:cstheme="majorHAnsi"/>
                <w:sz w:val="20"/>
                <w:szCs w:val="20"/>
              </w:rPr>
            </w:pPr>
            <w:r w:rsidRPr="00F9014E">
              <w:rPr>
                <w:rFonts w:asciiTheme="majorHAnsi" w:hAnsiTheme="majorHAnsi" w:cstheme="majorHAnsi"/>
                <w:sz w:val="20"/>
                <w:szCs w:val="20"/>
              </w:rPr>
              <w:t>Deferral payment options (up to 180 days)</w:t>
            </w:r>
            <w:r w:rsidR="000E39CF" w:rsidRPr="00F9014E">
              <w:rPr>
                <w:rFonts w:asciiTheme="majorHAnsi" w:hAnsiTheme="majorHAnsi" w:cstheme="majorHAnsi"/>
                <w:sz w:val="20"/>
                <w:szCs w:val="20"/>
                <w:vertAlign w:val="superscript"/>
              </w:rPr>
              <w:t>1</w:t>
            </w:r>
          </w:p>
          <w:p w:rsidR="00166FD9" w:rsidRPr="00F9014E" w:rsidRDefault="00166FD9" w:rsidP="00304D18">
            <w:pPr>
              <w:numPr>
                <w:ilvl w:val="0"/>
                <w:numId w:val="2"/>
              </w:numPr>
              <w:ind w:left="720" w:right="-7"/>
              <w:rPr>
                <w:rFonts w:asciiTheme="majorHAnsi" w:hAnsiTheme="majorHAnsi" w:cstheme="majorHAnsi"/>
                <w:sz w:val="20"/>
                <w:szCs w:val="20"/>
              </w:rPr>
            </w:pPr>
            <w:r w:rsidRPr="00F9014E">
              <w:rPr>
                <w:rFonts w:asciiTheme="majorHAnsi" w:hAnsiTheme="majorHAnsi" w:cstheme="majorHAnsi"/>
                <w:sz w:val="20"/>
                <w:szCs w:val="20"/>
              </w:rPr>
              <w:t xml:space="preserve">Multiple funding options (ex. mutual or segregated funds) </w:t>
            </w:r>
          </w:p>
        </w:tc>
        <w:tc>
          <w:tcPr>
            <w:tcW w:w="4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6FD9" w:rsidRPr="00F9014E" w:rsidRDefault="00166FD9" w:rsidP="00166FD9">
            <w:pPr>
              <w:numPr>
                <w:ilvl w:val="0"/>
                <w:numId w:val="2"/>
              </w:numPr>
              <w:ind w:left="720" w:right="-7"/>
              <w:rPr>
                <w:rFonts w:asciiTheme="majorHAnsi" w:hAnsiTheme="majorHAnsi" w:cstheme="majorHAnsi"/>
                <w:sz w:val="20"/>
                <w:szCs w:val="20"/>
              </w:rPr>
            </w:pPr>
            <w:r w:rsidRPr="00F9014E">
              <w:rPr>
                <w:rFonts w:asciiTheme="majorHAnsi" w:hAnsiTheme="majorHAnsi" w:cstheme="majorHAnsi"/>
                <w:sz w:val="20"/>
                <w:szCs w:val="20"/>
              </w:rPr>
              <w:t xml:space="preserve">Low minimum amount </w:t>
            </w:r>
          </w:p>
          <w:p w:rsidR="00166FD9" w:rsidRPr="00F9014E" w:rsidRDefault="00166FD9" w:rsidP="00166FD9">
            <w:pPr>
              <w:numPr>
                <w:ilvl w:val="0"/>
                <w:numId w:val="2"/>
              </w:numPr>
              <w:ind w:left="720" w:right="-7"/>
              <w:rPr>
                <w:rFonts w:asciiTheme="majorHAnsi" w:hAnsiTheme="majorHAnsi" w:cstheme="majorHAnsi"/>
                <w:sz w:val="20"/>
                <w:szCs w:val="20"/>
              </w:rPr>
            </w:pPr>
            <w:r w:rsidRPr="00F9014E">
              <w:rPr>
                <w:rFonts w:asciiTheme="majorHAnsi" w:hAnsiTheme="majorHAnsi" w:cstheme="majorHAnsi"/>
                <w:sz w:val="20"/>
                <w:szCs w:val="20"/>
              </w:rPr>
              <w:t>No maximum amount</w:t>
            </w:r>
          </w:p>
          <w:p w:rsidR="00166FD9" w:rsidRPr="00F9014E" w:rsidRDefault="00166FD9" w:rsidP="00304D18">
            <w:pPr>
              <w:rPr>
                <w:rFonts w:asciiTheme="majorHAnsi" w:hAnsiTheme="majorHAnsi" w:cstheme="majorHAnsi"/>
                <w:sz w:val="20"/>
                <w:szCs w:val="20"/>
              </w:rPr>
            </w:pPr>
          </w:p>
        </w:tc>
      </w:tr>
    </w:tbl>
    <w:p w:rsidR="00166FD9" w:rsidRPr="00F9014E" w:rsidRDefault="00166FD9" w:rsidP="00304D18">
      <w:pPr>
        <w:rPr>
          <w:rFonts w:asciiTheme="majorHAnsi" w:hAnsiTheme="majorHAnsi" w:cstheme="majorHAnsi"/>
          <w:sz w:val="20"/>
          <w:szCs w:val="20"/>
        </w:rPr>
      </w:pPr>
    </w:p>
    <w:p w:rsidR="00304D18" w:rsidRPr="00304D18" w:rsidRDefault="00304D18" w:rsidP="00304D18">
      <w:pPr>
        <w:rPr>
          <w:rFonts w:asciiTheme="majorHAnsi" w:hAnsiTheme="majorHAnsi" w:cstheme="majorHAnsi"/>
          <w:sz w:val="20"/>
          <w:szCs w:val="20"/>
        </w:rPr>
      </w:pPr>
      <w:r w:rsidRPr="00F9014E">
        <w:rPr>
          <w:rFonts w:asciiTheme="majorHAnsi" w:hAnsiTheme="majorHAnsi" w:cstheme="majorHAnsi"/>
          <w:sz w:val="20"/>
          <w:szCs w:val="20"/>
        </w:rPr>
        <w:t>Let’s talk about how an RSP loan fits within your overall financial</w:t>
      </w:r>
      <w:r w:rsidRPr="00304D18">
        <w:rPr>
          <w:rFonts w:asciiTheme="majorHAnsi" w:hAnsiTheme="majorHAnsi" w:cstheme="majorHAnsi"/>
          <w:sz w:val="20"/>
          <w:szCs w:val="20"/>
        </w:rPr>
        <w:t xml:space="preserve"> strategy. </w:t>
      </w:r>
    </w:p>
    <w:p w:rsidR="00304D18" w:rsidRPr="00304D18" w:rsidRDefault="00304D18" w:rsidP="00304D18">
      <w:pPr>
        <w:rPr>
          <w:rFonts w:asciiTheme="majorHAnsi" w:hAnsiTheme="majorHAnsi" w:cstheme="majorHAnsi"/>
          <w:sz w:val="20"/>
          <w:szCs w:val="20"/>
        </w:rPr>
      </w:pPr>
    </w:p>
    <w:p w:rsidR="00304D18" w:rsidRPr="00304D18" w:rsidRDefault="00304D18" w:rsidP="00304D18">
      <w:pPr>
        <w:rPr>
          <w:rFonts w:asciiTheme="majorHAnsi" w:hAnsiTheme="majorHAnsi" w:cstheme="majorHAnsi"/>
          <w:sz w:val="20"/>
          <w:szCs w:val="20"/>
        </w:rPr>
      </w:pPr>
      <w:r w:rsidRPr="00304D18">
        <w:rPr>
          <w:rFonts w:asciiTheme="majorHAnsi" w:hAnsiTheme="majorHAnsi" w:cstheme="majorHAnsi"/>
          <w:sz w:val="20"/>
          <w:szCs w:val="20"/>
        </w:rPr>
        <w:t>Sincerely,</w:t>
      </w:r>
    </w:p>
    <w:p w:rsidR="00304D18" w:rsidRDefault="00304D18" w:rsidP="00304D18">
      <w:pPr>
        <w:ind w:right="-360"/>
        <w:rPr>
          <w:lang w:val="en-US" w:eastAsia="en-US"/>
        </w:rPr>
      </w:pPr>
    </w:p>
    <w:bookmarkStart w:id="0" w:name="Text10"/>
    <w:p w:rsidR="008E665D" w:rsidRPr="00304D18" w:rsidRDefault="008E665D" w:rsidP="008E665D">
      <w:pPr>
        <w:framePr w:w="5730" w:h="1778" w:hSpace="187" w:wrap="notBeside" w:vAnchor="text" w:hAnchor="page" w:x="1059" w:y="565"/>
        <w:ind w:left="360"/>
        <w:rPr>
          <w:rFonts w:asciiTheme="majorHAnsi" w:hAnsiTheme="majorHAnsi" w:cstheme="majorHAnsi"/>
          <w:sz w:val="20"/>
          <w:szCs w:val="20"/>
        </w:rPr>
      </w:pPr>
      <w:r w:rsidRPr="00304D18">
        <w:rPr>
          <w:rFonts w:asciiTheme="majorHAnsi" w:hAnsiTheme="majorHAnsi" w:cstheme="majorHAnsi"/>
          <w:sz w:val="20"/>
          <w:szCs w:val="20"/>
        </w:rPr>
        <w:fldChar w:fldCharType="begin">
          <w:ffData>
            <w:name w:val="Text10"/>
            <w:enabled/>
            <w:calcOnExit w:val="0"/>
            <w:textInput>
              <w:default w:val="[ADVISOR NAME]"/>
              <w:maxLength w:val="50"/>
            </w:textInput>
          </w:ffData>
        </w:fldChar>
      </w:r>
      <w:r w:rsidRPr="00304D18">
        <w:rPr>
          <w:rFonts w:asciiTheme="majorHAnsi" w:hAnsiTheme="majorHAnsi" w:cstheme="majorHAnsi"/>
          <w:sz w:val="20"/>
          <w:szCs w:val="20"/>
        </w:rPr>
        <w:instrText xml:space="preserve"> FORMTEXT </w:instrText>
      </w:r>
      <w:r w:rsidRPr="00304D18">
        <w:rPr>
          <w:rFonts w:asciiTheme="majorHAnsi" w:hAnsiTheme="majorHAnsi" w:cstheme="majorHAnsi"/>
          <w:sz w:val="20"/>
          <w:szCs w:val="20"/>
        </w:rPr>
      </w:r>
      <w:r w:rsidRPr="00304D18">
        <w:rPr>
          <w:rFonts w:asciiTheme="majorHAnsi" w:hAnsiTheme="majorHAnsi" w:cstheme="majorHAnsi"/>
          <w:sz w:val="20"/>
          <w:szCs w:val="20"/>
        </w:rPr>
        <w:fldChar w:fldCharType="separate"/>
      </w:r>
      <w:r w:rsidRPr="00304D18">
        <w:rPr>
          <w:rFonts w:asciiTheme="majorHAnsi" w:hAnsiTheme="majorHAnsi" w:cstheme="majorHAnsi"/>
          <w:noProof/>
          <w:sz w:val="20"/>
          <w:szCs w:val="20"/>
        </w:rPr>
        <w:t>[ADVISOR NAME]</w:t>
      </w:r>
      <w:r w:rsidRPr="00304D18">
        <w:rPr>
          <w:rFonts w:asciiTheme="majorHAnsi" w:hAnsiTheme="majorHAnsi" w:cstheme="majorHAnsi"/>
          <w:sz w:val="20"/>
          <w:szCs w:val="20"/>
        </w:rPr>
        <w:fldChar w:fldCharType="end"/>
      </w:r>
      <w:bookmarkEnd w:id="0"/>
    </w:p>
    <w:bookmarkStart w:id="1" w:name="Text2"/>
    <w:p w:rsidR="008E665D" w:rsidRPr="00304D18" w:rsidRDefault="008E665D" w:rsidP="008E665D">
      <w:pPr>
        <w:framePr w:w="5730" w:h="1778" w:hSpace="187" w:wrap="notBeside" w:vAnchor="text" w:hAnchor="page" w:x="1059" w:y="565"/>
        <w:ind w:left="360"/>
        <w:rPr>
          <w:rFonts w:asciiTheme="majorHAnsi" w:hAnsiTheme="majorHAnsi" w:cstheme="majorHAnsi"/>
          <w:sz w:val="20"/>
          <w:szCs w:val="20"/>
        </w:rPr>
      </w:pPr>
      <w:r w:rsidRPr="00304D18">
        <w:rPr>
          <w:rFonts w:asciiTheme="majorHAnsi" w:hAnsiTheme="majorHAnsi" w:cstheme="majorHAnsi"/>
          <w:sz w:val="20"/>
          <w:szCs w:val="20"/>
        </w:rPr>
        <w:fldChar w:fldCharType="begin">
          <w:ffData>
            <w:name w:val="Text2"/>
            <w:enabled/>
            <w:calcOnExit w:val="0"/>
            <w:textInput>
              <w:default w:val="[ADVISOR TITLE]"/>
              <w:maxLength w:val="50"/>
            </w:textInput>
          </w:ffData>
        </w:fldChar>
      </w:r>
      <w:r w:rsidRPr="00304D18">
        <w:rPr>
          <w:rFonts w:asciiTheme="majorHAnsi" w:hAnsiTheme="majorHAnsi" w:cstheme="majorHAnsi"/>
          <w:sz w:val="20"/>
          <w:szCs w:val="20"/>
        </w:rPr>
        <w:instrText xml:space="preserve"> FORMTEXT </w:instrText>
      </w:r>
      <w:r w:rsidRPr="00304D18">
        <w:rPr>
          <w:rFonts w:asciiTheme="majorHAnsi" w:hAnsiTheme="majorHAnsi" w:cstheme="majorHAnsi"/>
          <w:sz w:val="20"/>
          <w:szCs w:val="20"/>
        </w:rPr>
      </w:r>
      <w:r w:rsidRPr="00304D18">
        <w:rPr>
          <w:rFonts w:asciiTheme="majorHAnsi" w:hAnsiTheme="majorHAnsi" w:cstheme="majorHAnsi"/>
          <w:sz w:val="20"/>
          <w:szCs w:val="20"/>
        </w:rPr>
        <w:fldChar w:fldCharType="separate"/>
      </w:r>
      <w:r w:rsidRPr="00304D18">
        <w:rPr>
          <w:rFonts w:asciiTheme="majorHAnsi" w:hAnsiTheme="majorHAnsi" w:cstheme="majorHAnsi"/>
          <w:noProof/>
          <w:sz w:val="20"/>
          <w:szCs w:val="20"/>
        </w:rPr>
        <w:t>[</w:t>
      </w:r>
      <w:bookmarkStart w:id="2" w:name="_GoBack"/>
      <w:r w:rsidRPr="00304D18">
        <w:rPr>
          <w:rFonts w:asciiTheme="majorHAnsi" w:hAnsiTheme="majorHAnsi" w:cstheme="majorHAnsi"/>
          <w:noProof/>
          <w:sz w:val="20"/>
          <w:szCs w:val="20"/>
        </w:rPr>
        <w:t xml:space="preserve">ADVISOR </w:t>
      </w:r>
      <w:bookmarkEnd w:id="2"/>
      <w:r w:rsidRPr="00304D18">
        <w:rPr>
          <w:rFonts w:asciiTheme="majorHAnsi" w:hAnsiTheme="majorHAnsi" w:cstheme="majorHAnsi"/>
          <w:noProof/>
          <w:sz w:val="20"/>
          <w:szCs w:val="20"/>
        </w:rPr>
        <w:t>TITLE]</w:t>
      </w:r>
      <w:r w:rsidRPr="00304D18">
        <w:rPr>
          <w:rFonts w:asciiTheme="majorHAnsi" w:hAnsiTheme="majorHAnsi" w:cstheme="majorHAnsi"/>
          <w:sz w:val="20"/>
          <w:szCs w:val="20"/>
        </w:rPr>
        <w:fldChar w:fldCharType="end"/>
      </w:r>
      <w:bookmarkEnd w:id="1"/>
    </w:p>
    <w:bookmarkStart w:id="3" w:name="Text3"/>
    <w:p w:rsidR="008E665D" w:rsidRPr="00304D18" w:rsidRDefault="008E665D" w:rsidP="008E665D">
      <w:pPr>
        <w:framePr w:w="5730" w:h="1778" w:hSpace="187" w:wrap="notBeside" w:vAnchor="text" w:hAnchor="page" w:x="1059" w:y="565"/>
        <w:ind w:left="360"/>
        <w:rPr>
          <w:rFonts w:asciiTheme="majorHAnsi" w:hAnsiTheme="majorHAnsi" w:cstheme="majorHAnsi"/>
          <w:sz w:val="20"/>
          <w:szCs w:val="20"/>
        </w:rPr>
      </w:pPr>
      <w:r w:rsidRPr="00304D18">
        <w:rPr>
          <w:rFonts w:asciiTheme="majorHAnsi" w:hAnsiTheme="majorHAnsi" w:cstheme="majorHAnsi"/>
          <w:sz w:val="20"/>
          <w:szCs w:val="20"/>
        </w:rPr>
        <w:fldChar w:fldCharType="begin">
          <w:ffData>
            <w:name w:val="Text3"/>
            <w:enabled/>
            <w:calcOnExit w:val="0"/>
            <w:textInput>
              <w:default w:val="[ADVISOR COMPANY]"/>
              <w:maxLength w:val="50"/>
            </w:textInput>
          </w:ffData>
        </w:fldChar>
      </w:r>
      <w:r w:rsidRPr="00304D18">
        <w:rPr>
          <w:rFonts w:asciiTheme="majorHAnsi" w:hAnsiTheme="majorHAnsi" w:cstheme="majorHAnsi"/>
          <w:sz w:val="20"/>
          <w:szCs w:val="20"/>
        </w:rPr>
        <w:instrText xml:space="preserve"> FORMTEXT </w:instrText>
      </w:r>
      <w:r w:rsidRPr="00304D18">
        <w:rPr>
          <w:rFonts w:asciiTheme="majorHAnsi" w:hAnsiTheme="majorHAnsi" w:cstheme="majorHAnsi"/>
          <w:sz w:val="20"/>
          <w:szCs w:val="20"/>
        </w:rPr>
      </w:r>
      <w:r w:rsidRPr="00304D18">
        <w:rPr>
          <w:rFonts w:asciiTheme="majorHAnsi" w:hAnsiTheme="majorHAnsi" w:cstheme="majorHAnsi"/>
          <w:sz w:val="20"/>
          <w:szCs w:val="20"/>
        </w:rPr>
        <w:fldChar w:fldCharType="separate"/>
      </w:r>
      <w:r w:rsidRPr="00304D18">
        <w:rPr>
          <w:rFonts w:asciiTheme="majorHAnsi" w:hAnsiTheme="majorHAnsi" w:cstheme="majorHAnsi"/>
          <w:noProof/>
          <w:sz w:val="20"/>
          <w:szCs w:val="20"/>
        </w:rPr>
        <w:t>[ADVISOR COMPANY]</w:t>
      </w:r>
      <w:r w:rsidRPr="00304D18">
        <w:rPr>
          <w:rFonts w:asciiTheme="majorHAnsi" w:hAnsiTheme="majorHAnsi" w:cstheme="majorHAnsi"/>
          <w:sz w:val="20"/>
          <w:szCs w:val="20"/>
        </w:rPr>
        <w:fldChar w:fldCharType="end"/>
      </w:r>
      <w:bookmarkEnd w:id="3"/>
    </w:p>
    <w:bookmarkStart w:id="4" w:name="Text4"/>
    <w:p w:rsidR="008E665D" w:rsidRPr="00304D18" w:rsidRDefault="008E665D" w:rsidP="008E665D">
      <w:pPr>
        <w:framePr w:w="5730" w:h="1778" w:hSpace="187" w:wrap="notBeside" w:vAnchor="text" w:hAnchor="page" w:x="1059" w:y="565"/>
        <w:ind w:left="360"/>
        <w:rPr>
          <w:rFonts w:asciiTheme="majorHAnsi" w:hAnsiTheme="majorHAnsi" w:cstheme="majorHAnsi"/>
          <w:sz w:val="20"/>
          <w:szCs w:val="20"/>
        </w:rPr>
      </w:pPr>
      <w:r w:rsidRPr="00304D18">
        <w:rPr>
          <w:rFonts w:asciiTheme="majorHAnsi" w:hAnsiTheme="majorHAnsi" w:cstheme="majorHAnsi"/>
          <w:sz w:val="20"/>
          <w:szCs w:val="20"/>
        </w:rPr>
        <w:fldChar w:fldCharType="begin">
          <w:ffData>
            <w:name w:val="Text4"/>
            <w:enabled/>
            <w:calcOnExit w:val="0"/>
            <w:textInput>
              <w:default w:val="[ADVISOR TELEPHONE]"/>
              <w:maxLength w:val="50"/>
            </w:textInput>
          </w:ffData>
        </w:fldChar>
      </w:r>
      <w:r w:rsidRPr="00304D18">
        <w:rPr>
          <w:rFonts w:asciiTheme="majorHAnsi" w:hAnsiTheme="majorHAnsi" w:cstheme="majorHAnsi"/>
          <w:sz w:val="20"/>
          <w:szCs w:val="20"/>
        </w:rPr>
        <w:instrText xml:space="preserve"> FORMTEXT </w:instrText>
      </w:r>
      <w:r w:rsidRPr="00304D18">
        <w:rPr>
          <w:rFonts w:asciiTheme="majorHAnsi" w:hAnsiTheme="majorHAnsi" w:cstheme="majorHAnsi"/>
          <w:sz w:val="20"/>
          <w:szCs w:val="20"/>
        </w:rPr>
      </w:r>
      <w:r w:rsidRPr="00304D18">
        <w:rPr>
          <w:rFonts w:asciiTheme="majorHAnsi" w:hAnsiTheme="majorHAnsi" w:cstheme="majorHAnsi"/>
          <w:sz w:val="20"/>
          <w:szCs w:val="20"/>
        </w:rPr>
        <w:fldChar w:fldCharType="separate"/>
      </w:r>
      <w:r w:rsidRPr="00304D18">
        <w:rPr>
          <w:rFonts w:asciiTheme="majorHAnsi" w:hAnsiTheme="majorHAnsi" w:cstheme="majorHAnsi"/>
          <w:noProof/>
          <w:sz w:val="20"/>
          <w:szCs w:val="20"/>
        </w:rPr>
        <w:t>[ADVISOR TELEPHONE]</w:t>
      </w:r>
      <w:r w:rsidRPr="00304D18">
        <w:rPr>
          <w:rFonts w:asciiTheme="majorHAnsi" w:hAnsiTheme="majorHAnsi" w:cstheme="majorHAnsi"/>
          <w:sz w:val="20"/>
          <w:szCs w:val="20"/>
        </w:rPr>
        <w:fldChar w:fldCharType="end"/>
      </w:r>
      <w:bookmarkEnd w:id="4"/>
    </w:p>
    <w:bookmarkStart w:id="5" w:name="Text5"/>
    <w:p w:rsidR="008E665D" w:rsidRPr="00304D18" w:rsidRDefault="008E665D" w:rsidP="008E665D">
      <w:pPr>
        <w:framePr w:w="5730" w:h="1778" w:hSpace="187" w:wrap="notBeside" w:vAnchor="text" w:hAnchor="page" w:x="1059" w:y="565"/>
        <w:ind w:left="360"/>
        <w:rPr>
          <w:rFonts w:asciiTheme="majorHAnsi" w:hAnsiTheme="majorHAnsi" w:cstheme="majorHAnsi"/>
          <w:sz w:val="20"/>
          <w:szCs w:val="20"/>
        </w:rPr>
      </w:pPr>
      <w:r w:rsidRPr="00304D18">
        <w:rPr>
          <w:rFonts w:asciiTheme="majorHAnsi" w:hAnsiTheme="majorHAnsi" w:cstheme="majorHAnsi"/>
          <w:sz w:val="20"/>
          <w:szCs w:val="20"/>
        </w:rPr>
        <w:fldChar w:fldCharType="begin">
          <w:ffData>
            <w:name w:val="Text5"/>
            <w:enabled/>
            <w:calcOnExit w:val="0"/>
            <w:textInput>
              <w:default w:val="[ADVISOR CELLULAR]"/>
              <w:maxLength w:val="50"/>
            </w:textInput>
          </w:ffData>
        </w:fldChar>
      </w:r>
      <w:r w:rsidRPr="00304D18">
        <w:rPr>
          <w:rFonts w:asciiTheme="majorHAnsi" w:hAnsiTheme="majorHAnsi" w:cstheme="majorHAnsi"/>
          <w:sz w:val="20"/>
          <w:szCs w:val="20"/>
        </w:rPr>
        <w:instrText xml:space="preserve"> FORMTEXT </w:instrText>
      </w:r>
      <w:r w:rsidRPr="00304D18">
        <w:rPr>
          <w:rFonts w:asciiTheme="majorHAnsi" w:hAnsiTheme="majorHAnsi" w:cstheme="majorHAnsi"/>
          <w:sz w:val="20"/>
          <w:szCs w:val="20"/>
        </w:rPr>
      </w:r>
      <w:r w:rsidRPr="00304D18">
        <w:rPr>
          <w:rFonts w:asciiTheme="majorHAnsi" w:hAnsiTheme="majorHAnsi" w:cstheme="majorHAnsi"/>
          <w:sz w:val="20"/>
          <w:szCs w:val="20"/>
        </w:rPr>
        <w:fldChar w:fldCharType="separate"/>
      </w:r>
      <w:r w:rsidRPr="00304D18">
        <w:rPr>
          <w:rFonts w:asciiTheme="majorHAnsi" w:hAnsiTheme="majorHAnsi" w:cstheme="majorHAnsi"/>
          <w:noProof/>
          <w:sz w:val="20"/>
          <w:szCs w:val="20"/>
        </w:rPr>
        <w:t>[ADVISOR CELLULAR]</w:t>
      </w:r>
      <w:r w:rsidRPr="00304D18">
        <w:rPr>
          <w:rFonts w:asciiTheme="majorHAnsi" w:hAnsiTheme="majorHAnsi" w:cstheme="majorHAnsi"/>
          <w:sz w:val="20"/>
          <w:szCs w:val="20"/>
        </w:rPr>
        <w:fldChar w:fldCharType="end"/>
      </w:r>
      <w:bookmarkEnd w:id="5"/>
    </w:p>
    <w:bookmarkStart w:id="6" w:name="Text6"/>
    <w:p w:rsidR="008E665D" w:rsidRPr="00304D18" w:rsidRDefault="008E665D" w:rsidP="008E665D">
      <w:pPr>
        <w:framePr w:w="5730" w:h="1778" w:hSpace="187" w:wrap="notBeside" w:vAnchor="text" w:hAnchor="page" w:x="1059" w:y="565"/>
        <w:ind w:left="360"/>
        <w:rPr>
          <w:rFonts w:asciiTheme="majorHAnsi" w:hAnsiTheme="majorHAnsi" w:cstheme="majorHAnsi"/>
          <w:sz w:val="20"/>
          <w:szCs w:val="20"/>
        </w:rPr>
      </w:pPr>
      <w:r w:rsidRPr="00304D18">
        <w:rPr>
          <w:rFonts w:asciiTheme="majorHAnsi" w:hAnsiTheme="majorHAnsi" w:cstheme="majorHAnsi"/>
          <w:sz w:val="20"/>
          <w:szCs w:val="20"/>
        </w:rPr>
        <w:fldChar w:fldCharType="begin">
          <w:ffData>
            <w:name w:val="Text6"/>
            <w:enabled/>
            <w:calcOnExit w:val="0"/>
            <w:textInput>
              <w:default w:val="[ADVISOR E-MAIL]"/>
              <w:maxLength w:val="50"/>
            </w:textInput>
          </w:ffData>
        </w:fldChar>
      </w:r>
      <w:r w:rsidRPr="00304D18">
        <w:rPr>
          <w:rFonts w:asciiTheme="majorHAnsi" w:hAnsiTheme="majorHAnsi" w:cstheme="majorHAnsi"/>
          <w:sz w:val="20"/>
          <w:szCs w:val="20"/>
        </w:rPr>
        <w:instrText xml:space="preserve"> FORMTEXT </w:instrText>
      </w:r>
      <w:r w:rsidRPr="00304D18">
        <w:rPr>
          <w:rFonts w:asciiTheme="majorHAnsi" w:hAnsiTheme="majorHAnsi" w:cstheme="majorHAnsi"/>
          <w:sz w:val="20"/>
          <w:szCs w:val="20"/>
        </w:rPr>
      </w:r>
      <w:r w:rsidRPr="00304D18">
        <w:rPr>
          <w:rFonts w:asciiTheme="majorHAnsi" w:hAnsiTheme="majorHAnsi" w:cstheme="majorHAnsi"/>
          <w:sz w:val="20"/>
          <w:szCs w:val="20"/>
        </w:rPr>
        <w:fldChar w:fldCharType="separate"/>
      </w:r>
      <w:r w:rsidRPr="00304D18">
        <w:rPr>
          <w:rFonts w:asciiTheme="majorHAnsi" w:hAnsiTheme="majorHAnsi" w:cstheme="majorHAnsi"/>
          <w:noProof/>
          <w:sz w:val="20"/>
          <w:szCs w:val="20"/>
        </w:rPr>
        <w:t>[ADVISOR E-MAIL]</w:t>
      </w:r>
      <w:r w:rsidRPr="00304D18">
        <w:rPr>
          <w:rFonts w:asciiTheme="majorHAnsi" w:hAnsiTheme="majorHAnsi" w:cstheme="majorHAnsi"/>
          <w:sz w:val="20"/>
          <w:szCs w:val="20"/>
        </w:rPr>
        <w:fldChar w:fldCharType="end"/>
      </w:r>
      <w:bookmarkEnd w:id="6"/>
    </w:p>
    <w:p w:rsidR="008E665D" w:rsidRPr="00304D18" w:rsidRDefault="008E665D" w:rsidP="008E665D">
      <w:pPr>
        <w:framePr w:w="5730" w:h="1778" w:hSpace="187" w:wrap="notBeside" w:vAnchor="text" w:hAnchor="page" w:x="1059" w:y="565"/>
        <w:ind w:left="360"/>
        <w:rPr>
          <w:rFonts w:asciiTheme="majorHAnsi" w:hAnsiTheme="majorHAnsi" w:cstheme="majorHAnsi"/>
          <w:sz w:val="20"/>
          <w:szCs w:val="20"/>
        </w:rPr>
      </w:pPr>
      <w:r w:rsidRPr="00304D18">
        <w:rPr>
          <w:rFonts w:asciiTheme="majorHAnsi" w:hAnsiTheme="majorHAnsi" w:cstheme="majorHAnsi"/>
          <w:sz w:val="20"/>
          <w:szCs w:val="20"/>
        </w:rPr>
        <w:fldChar w:fldCharType="begin">
          <w:ffData>
            <w:name w:val=""/>
            <w:enabled/>
            <w:calcOnExit w:val="0"/>
            <w:textInput>
              <w:default w:val="[OTHER]"/>
              <w:maxLength w:val="50"/>
            </w:textInput>
          </w:ffData>
        </w:fldChar>
      </w:r>
      <w:r w:rsidRPr="00304D18">
        <w:rPr>
          <w:rFonts w:asciiTheme="majorHAnsi" w:hAnsiTheme="majorHAnsi" w:cstheme="majorHAnsi"/>
          <w:sz w:val="20"/>
          <w:szCs w:val="20"/>
        </w:rPr>
        <w:instrText xml:space="preserve"> FORMTEXT </w:instrText>
      </w:r>
      <w:r w:rsidRPr="00304D18">
        <w:rPr>
          <w:rFonts w:asciiTheme="majorHAnsi" w:hAnsiTheme="majorHAnsi" w:cstheme="majorHAnsi"/>
          <w:sz w:val="20"/>
          <w:szCs w:val="20"/>
        </w:rPr>
      </w:r>
      <w:r w:rsidRPr="00304D18">
        <w:rPr>
          <w:rFonts w:asciiTheme="majorHAnsi" w:hAnsiTheme="majorHAnsi" w:cstheme="majorHAnsi"/>
          <w:sz w:val="20"/>
          <w:szCs w:val="20"/>
        </w:rPr>
        <w:fldChar w:fldCharType="separate"/>
      </w:r>
      <w:r w:rsidRPr="00304D18">
        <w:rPr>
          <w:rFonts w:asciiTheme="majorHAnsi" w:hAnsiTheme="majorHAnsi" w:cstheme="majorHAnsi"/>
          <w:noProof/>
          <w:sz w:val="20"/>
          <w:szCs w:val="20"/>
        </w:rPr>
        <w:t>[OTHER]</w:t>
      </w:r>
      <w:r w:rsidRPr="00304D18">
        <w:rPr>
          <w:rFonts w:asciiTheme="majorHAnsi" w:hAnsiTheme="majorHAnsi" w:cstheme="majorHAnsi"/>
          <w:sz w:val="20"/>
          <w:szCs w:val="20"/>
        </w:rPr>
        <w:fldChar w:fldCharType="end"/>
      </w:r>
    </w:p>
    <w:bookmarkStart w:id="7" w:name="Text7"/>
    <w:p w:rsidR="008E665D" w:rsidRDefault="008E665D" w:rsidP="008E665D">
      <w:pPr>
        <w:framePr w:w="5730" w:h="1778" w:hSpace="187" w:wrap="notBeside" w:vAnchor="text" w:hAnchor="page" w:x="1059" w:y="565"/>
        <w:ind w:left="360"/>
      </w:pPr>
      <w:r>
        <w:fldChar w:fldCharType="begin">
          <w:ffData>
            <w:name w:val="Text7"/>
            <w:enabled/>
            <w:calcOnExit w:val="0"/>
            <w:textInput>
              <w:default w:val="[OTHER]"/>
              <w:maxLength w:val="50"/>
            </w:textInput>
          </w:ffData>
        </w:fldChar>
      </w:r>
      <w:r>
        <w:instrText xml:space="preserve"> FORMTEXT </w:instrText>
      </w:r>
      <w:r>
        <w:fldChar w:fldCharType="separate"/>
      </w:r>
      <w:r>
        <w:rPr>
          <w:noProof/>
        </w:rPr>
        <w:t>[OTHER]</w:t>
      </w:r>
      <w:r>
        <w:fldChar w:fldCharType="end"/>
      </w:r>
      <w:bookmarkEnd w:id="7"/>
    </w:p>
    <w:p w:rsidR="008E665D" w:rsidRDefault="008E665D" w:rsidP="00304D18">
      <w:pPr>
        <w:ind w:right="-360"/>
        <w:rPr>
          <w:lang w:val="en-US" w:eastAsia="en-US"/>
        </w:rPr>
      </w:pPr>
    </w:p>
    <w:p w:rsidR="00304D18" w:rsidRDefault="00304D18" w:rsidP="00304D18">
      <w:pPr>
        <w:rPr>
          <w:lang w:val="en-US" w:eastAsia="en-US"/>
        </w:rPr>
      </w:pPr>
    </w:p>
    <w:p w:rsidR="00304D18" w:rsidRDefault="00304D18" w:rsidP="00304D18">
      <w:pPr>
        <w:rPr>
          <w:lang w:val="en-US" w:eastAsia="en-US"/>
        </w:rPr>
      </w:pPr>
    </w:p>
    <w:p w:rsidR="00815538" w:rsidRDefault="0069755F" w:rsidP="0069755F">
      <w:pPr>
        <w:rPr>
          <w:rFonts w:asciiTheme="majorHAnsi" w:hAnsiTheme="majorHAnsi" w:cstheme="majorHAnsi"/>
          <w:sz w:val="16"/>
          <w:szCs w:val="16"/>
          <w:lang w:val="en-US"/>
        </w:rPr>
      </w:pPr>
      <w:r>
        <w:rPr>
          <w:rFonts w:asciiTheme="majorHAnsi" w:hAnsiTheme="majorHAnsi" w:cstheme="majorHAnsi"/>
          <w:sz w:val="16"/>
          <w:szCs w:val="16"/>
          <w:lang w:val="en-US"/>
        </w:rPr>
        <w:t xml:space="preserve">1. </w:t>
      </w:r>
      <w:r w:rsidR="00304D18" w:rsidRPr="0069755F">
        <w:rPr>
          <w:rFonts w:asciiTheme="majorHAnsi" w:hAnsiTheme="majorHAnsi" w:cstheme="majorHAnsi"/>
          <w:sz w:val="16"/>
          <w:szCs w:val="16"/>
          <w:lang w:val="en-US"/>
        </w:rPr>
        <w:t xml:space="preserve">Clients can defer their first payment for up to 180 days on all B2B Bank RSP </w:t>
      </w:r>
      <w:r w:rsidR="00632DB1">
        <w:rPr>
          <w:rFonts w:asciiTheme="majorHAnsi" w:hAnsiTheme="majorHAnsi" w:cstheme="majorHAnsi"/>
          <w:sz w:val="16"/>
          <w:szCs w:val="16"/>
          <w:lang w:val="en-US"/>
        </w:rPr>
        <w:t>L</w:t>
      </w:r>
      <w:r w:rsidR="00304D18" w:rsidRPr="0069755F">
        <w:rPr>
          <w:rFonts w:asciiTheme="majorHAnsi" w:hAnsiTheme="majorHAnsi" w:cstheme="majorHAnsi"/>
          <w:sz w:val="16"/>
          <w:szCs w:val="16"/>
          <w:lang w:val="en-US"/>
        </w:rPr>
        <w:t xml:space="preserve">oans. If a deferral option is selected, the first payment is due on the first payment date after the expiration of the deferral period. The interest accrues from the date of funding and extends the term of the loan by the length of </w:t>
      </w:r>
      <w:r w:rsidR="00304D18" w:rsidRPr="00F9014E">
        <w:rPr>
          <w:rFonts w:asciiTheme="majorHAnsi" w:hAnsiTheme="majorHAnsi" w:cstheme="majorHAnsi"/>
          <w:sz w:val="16"/>
          <w:szCs w:val="16"/>
          <w:lang w:val="en-US"/>
        </w:rPr>
        <w:t xml:space="preserve">deferral. </w:t>
      </w:r>
      <w:r w:rsidR="000E39CF" w:rsidRPr="00F9014E">
        <w:rPr>
          <w:rFonts w:asciiTheme="majorHAnsi" w:hAnsiTheme="majorHAnsi" w:cstheme="majorHAnsi"/>
          <w:sz w:val="16"/>
          <w:szCs w:val="16"/>
          <w:lang w:val="en-US"/>
        </w:rPr>
        <w:t xml:space="preserve">RRSP contributions cannot be deducted from income in all circumstances. Consult a qualified tax professional for more information. </w:t>
      </w:r>
      <w:r w:rsidR="00815538" w:rsidRPr="00F9014E">
        <w:rPr>
          <w:rFonts w:asciiTheme="majorHAnsi" w:hAnsiTheme="majorHAnsi" w:cstheme="majorHAnsi"/>
          <w:sz w:val="16"/>
          <w:szCs w:val="16"/>
          <w:lang w:val="en-US"/>
        </w:rPr>
        <w:t xml:space="preserve">B2B Bank does not provide investment advice to individuals. </w:t>
      </w:r>
      <w:r w:rsidRPr="00F9014E">
        <w:rPr>
          <w:rFonts w:asciiTheme="majorHAnsi" w:hAnsiTheme="majorHAnsi" w:cstheme="majorHAnsi"/>
          <w:sz w:val="16"/>
          <w:szCs w:val="16"/>
          <w:lang w:val="en-US"/>
        </w:rPr>
        <w:t>The dealer and financial advisor, not B2B Bank, are responsible for determining</w:t>
      </w:r>
      <w:r w:rsidRPr="0069755F">
        <w:rPr>
          <w:rFonts w:asciiTheme="majorHAnsi" w:hAnsiTheme="majorHAnsi" w:cstheme="majorHAnsi"/>
          <w:sz w:val="16"/>
          <w:szCs w:val="16"/>
          <w:lang w:val="en-US"/>
        </w:rPr>
        <w:t xml:space="preserve"> the suitability of investments for their clients and for informing them of the risks associated with borrowing to invest. The B2B Bank RSP Loan program is available exclusively through licensed financial advisors. B2B Bank acts solely in the capacity of lender and loan account administrator. Any loan approval from B2B Bank should not be construed as an endorsement of any investment choice, program or strategy. All RSP loans are subject to credit approval and borrowed monies are due and payable regardless of the performance of the investments purchased. ®B2B BANK is a registered trademark of B2B Bank.</w:t>
      </w:r>
    </w:p>
    <w:sectPr w:rsidR="00815538" w:rsidSect="00166FD9">
      <w:pgSz w:w="12240" w:h="15840"/>
      <w:pgMar w:top="1411" w:right="1411" w:bottom="432"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94C" w:rsidRDefault="00BB494C" w:rsidP="00166FD9">
      <w:r>
        <w:separator/>
      </w:r>
    </w:p>
  </w:endnote>
  <w:endnote w:type="continuationSeparator" w:id="0">
    <w:p w:rsidR="00BB494C" w:rsidRDefault="00BB494C" w:rsidP="0016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94C" w:rsidRDefault="00BB494C" w:rsidP="00166FD9">
      <w:r>
        <w:separator/>
      </w:r>
    </w:p>
  </w:footnote>
  <w:footnote w:type="continuationSeparator" w:id="0">
    <w:p w:rsidR="00BB494C" w:rsidRDefault="00BB494C" w:rsidP="00166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3D3D"/>
    <w:multiLevelType w:val="hybridMultilevel"/>
    <w:tmpl w:val="0C1CDA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DEF3C74"/>
    <w:multiLevelType w:val="hybridMultilevel"/>
    <w:tmpl w:val="D9E6DA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1534DD7"/>
    <w:multiLevelType w:val="hybridMultilevel"/>
    <w:tmpl w:val="C78A7C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95C5EF3"/>
    <w:multiLevelType w:val="hybridMultilevel"/>
    <w:tmpl w:val="B6B83292"/>
    <w:lvl w:ilvl="0" w:tplc="8DCC5F7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AAE0310"/>
    <w:multiLevelType w:val="hybridMultilevel"/>
    <w:tmpl w:val="50321432"/>
    <w:lvl w:ilvl="0" w:tplc="8DCC5F7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E0E62CC"/>
    <w:multiLevelType w:val="hybridMultilevel"/>
    <w:tmpl w:val="06DC70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7B10959"/>
    <w:multiLevelType w:val="hybridMultilevel"/>
    <w:tmpl w:val="9C5AA050"/>
    <w:lvl w:ilvl="0" w:tplc="8DCC5F7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9F16964"/>
    <w:multiLevelType w:val="hybridMultilevel"/>
    <w:tmpl w:val="9580D11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F99732C"/>
    <w:multiLevelType w:val="hybridMultilevel"/>
    <w:tmpl w:val="83E68B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18236C2"/>
    <w:multiLevelType w:val="hybridMultilevel"/>
    <w:tmpl w:val="EB90AB66"/>
    <w:lvl w:ilvl="0" w:tplc="8DCC5F7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2DD211A"/>
    <w:multiLevelType w:val="hybridMultilevel"/>
    <w:tmpl w:val="405C59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EFA609C"/>
    <w:multiLevelType w:val="hybridMultilevel"/>
    <w:tmpl w:val="1040CA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27E433E"/>
    <w:multiLevelType w:val="hybridMultilevel"/>
    <w:tmpl w:val="B87874C2"/>
    <w:lvl w:ilvl="0" w:tplc="8DCC5F7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C777201"/>
    <w:multiLevelType w:val="hybridMultilevel"/>
    <w:tmpl w:val="D01682D6"/>
    <w:lvl w:ilvl="0" w:tplc="8DCC5F7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4D1580F"/>
    <w:multiLevelType w:val="hybridMultilevel"/>
    <w:tmpl w:val="FE0E15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4"/>
  </w:num>
  <w:num w:numId="4">
    <w:abstractNumId w:val="0"/>
  </w:num>
  <w:num w:numId="5">
    <w:abstractNumId w:val="11"/>
  </w:num>
  <w:num w:numId="6">
    <w:abstractNumId w:val="2"/>
  </w:num>
  <w:num w:numId="7">
    <w:abstractNumId w:val="10"/>
  </w:num>
  <w:num w:numId="8">
    <w:abstractNumId w:val="5"/>
  </w:num>
  <w:num w:numId="9">
    <w:abstractNumId w:val="4"/>
  </w:num>
  <w:num w:numId="10">
    <w:abstractNumId w:val="13"/>
  </w:num>
  <w:num w:numId="11">
    <w:abstractNumId w:val="3"/>
  </w:num>
  <w:num w:numId="12">
    <w:abstractNumId w:val="6"/>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2" w:cryptSpinCount="1000000" w:hash="yUrz8gVw24na5lch1JjTLUp9Cn5nR8H88qPnquHEAtU=" w:salt="CTwJCrlsXAqYWVf+xBpRD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79"/>
    <w:rsid w:val="000E39CF"/>
    <w:rsid w:val="000E52F9"/>
    <w:rsid w:val="001415AD"/>
    <w:rsid w:val="00163F73"/>
    <w:rsid w:val="00166FC4"/>
    <w:rsid w:val="00166FD9"/>
    <w:rsid w:val="001C0343"/>
    <w:rsid w:val="0028316F"/>
    <w:rsid w:val="002D3B6D"/>
    <w:rsid w:val="002E4342"/>
    <w:rsid w:val="00304D18"/>
    <w:rsid w:val="00314631"/>
    <w:rsid w:val="003D461C"/>
    <w:rsid w:val="00467F0E"/>
    <w:rsid w:val="0047586A"/>
    <w:rsid w:val="00495955"/>
    <w:rsid w:val="004B0B87"/>
    <w:rsid w:val="005574CD"/>
    <w:rsid w:val="005A6230"/>
    <w:rsid w:val="00632DB1"/>
    <w:rsid w:val="006651B4"/>
    <w:rsid w:val="0069755F"/>
    <w:rsid w:val="006D4850"/>
    <w:rsid w:val="006F070F"/>
    <w:rsid w:val="00713966"/>
    <w:rsid w:val="00766247"/>
    <w:rsid w:val="007D33E9"/>
    <w:rsid w:val="00802F5F"/>
    <w:rsid w:val="00815538"/>
    <w:rsid w:val="00846EA6"/>
    <w:rsid w:val="008E665D"/>
    <w:rsid w:val="009160CA"/>
    <w:rsid w:val="00956E16"/>
    <w:rsid w:val="00A2532B"/>
    <w:rsid w:val="00A64B79"/>
    <w:rsid w:val="00A6659F"/>
    <w:rsid w:val="00A93F7A"/>
    <w:rsid w:val="00B10125"/>
    <w:rsid w:val="00B301A4"/>
    <w:rsid w:val="00BB494C"/>
    <w:rsid w:val="00BC5E4D"/>
    <w:rsid w:val="00BE6B47"/>
    <w:rsid w:val="00C15F7C"/>
    <w:rsid w:val="00CB3D85"/>
    <w:rsid w:val="00CC61BD"/>
    <w:rsid w:val="00D75C2E"/>
    <w:rsid w:val="00DA0EB6"/>
    <w:rsid w:val="00DD5C5A"/>
    <w:rsid w:val="00EE06A2"/>
    <w:rsid w:val="00EE527F"/>
    <w:rsid w:val="00EE5C6D"/>
    <w:rsid w:val="00F03F48"/>
    <w:rsid w:val="00F23BD1"/>
    <w:rsid w:val="00F32961"/>
    <w:rsid w:val="00F901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850A"/>
  <w15:chartTrackingRefBased/>
  <w15:docId w15:val="{7669E031-F5F7-47C2-BC2C-0808E20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64B79"/>
    <w:pPr>
      <w:spacing w:after="0" w:line="240" w:lineRule="auto"/>
    </w:pPr>
    <w:rPr>
      <w:rFonts w:ascii="Calibri" w:eastAsia="Times New Roman" w:hAnsi="Calibri" w:cs="Calibri"/>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D18"/>
    <w:pPr>
      <w:ind w:left="720"/>
      <w:contextualSpacing/>
    </w:pPr>
  </w:style>
  <w:style w:type="table" w:styleId="TableGrid">
    <w:name w:val="Table Grid"/>
    <w:basedOn w:val="TableNormal"/>
    <w:uiPriority w:val="59"/>
    <w:rsid w:val="00CB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4D"/>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166FD9"/>
    <w:pPr>
      <w:tabs>
        <w:tab w:val="center" w:pos="4680"/>
        <w:tab w:val="right" w:pos="9360"/>
      </w:tabs>
    </w:pPr>
  </w:style>
  <w:style w:type="character" w:customStyle="1" w:styleId="HeaderChar">
    <w:name w:val="Header Char"/>
    <w:basedOn w:val="DefaultParagraphFont"/>
    <w:link w:val="Header"/>
    <w:uiPriority w:val="99"/>
    <w:rsid w:val="00166FD9"/>
    <w:rPr>
      <w:rFonts w:ascii="Calibri" w:eastAsia="Times New Roman" w:hAnsi="Calibri" w:cs="Calibri"/>
      <w:lang w:val="en-CA" w:eastAsia="en-CA"/>
    </w:rPr>
  </w:style>
  <w:style w:type="paragraph" w:styleId="Footer">
    <w:name w:val="footer"/>
    <w:basedOn w:val="Normal"/>
    <w:link w:val="FooterChar"/>
    <w:uiPriority w:val="99"/>
    <w:unhideWhenUsed/>
    <w:rsid w:val="00166FD9"/>
    <w:pPr>
      <w:tabs>
        <w:tab w:val="center" w:pos="4680"/>
        <w:tab w:val="right" w:pos="9360"/>
      </w:tabs>
    </w:pPr>
  </w:style>
  <w:style w:type="character" w:customStyle="1" w:styleId="FooterChar">
    <w:name w:val="Footer Char"/>
    <w:basedOn w:val="DefaultParagraphFont"/>
    <w:link w:val="Footer"/>
    <w:uiPriority w:val="99"/>
    <w:rsid w:val="00166FD9"/>
    <w:rPr>
      <w:rFonts w:ascii="Calibri" w:eastAsia="Times New Roman" w:hAnsi="Calibri" w:cs="Calibri"/>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5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LC">
      <a:dk1>
        <a:sysClr val="windowText" lastClr="000000"/>
      </a:dk1>
      <a:lt1>
        <a:sysClr val="window" lastClr="FFFFFF"/>
      </a:lt1>
      <a:dk2>
        <a:srgbClr val="004070"/>
      </a:dk2>
      <a:lt2>
        <a:srgbClr val="EEECE1"/>
      </a:lt2>
      <a:accent1>
        <a:srgbClr val="4F81BD"/>
      </a:accent1>
      <a:accent2>
        <a:srgbClr val="C0504D"/>
      </a:accent2>
      <a:accent3>
        <a:srgbClr val="9BBB59"/>
      </a:accent3>
      <a:accent4>
        <a:srgbClr val="8064A2"/>
      </a:accent4>
      <a:accent5>
        <a:srgbClr val="4BACC6"/>
      </a:accent5>
      <a:accent6>
        <a:srgbClr val="FDB812"/>
      </a:accent6>
      <a:hlink>
        <a:srgbClr val="0000FF"/>
      </a:hlink>
      <a:folHlink>
        <a:srgbClr val="800080"/>
      </a:folHlink>
    </a:clrScheme>
    <a:fontScheme name="BL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 Danielle</dc:creator>
  <cp:keywords/>
  <dc:description/>
  <cp:lastModifiedBy>Vas Danielle</cp:lastModifiedBy>
  <cp:revision>12</cp:revision>
  <cp:lastPrinted>2017-12-21T14:13:00Z</cp:lastPrinted>
  <dcterms:created xsi:type="dcterms:W3CDTF">2018-01-02T17:37:00Z</dcterms:created>
  <dcterms:modified xsi:type="dcterms:W3CDTF">2018-01-10T21:51:00Z</dcterms:modified>
</cp:coreProperties>
</file>